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C1" w:rsidRDefault="008036C1" w:rsidP="008036C1">
      <w:pPr>
        <w:spacing w:after="0" w:line="240" w:lineRule="auto"/>
        <w:jc w:val="center"/>
        <w:rPr>
          <w:rFonts w:ascii="Verdana" w:eastAsia="Times New Roman" w:hAnsi="Verdana"/>
          <w:color w:val="000000"/>
          <w:sz w:val="28"/>
          <w:szCs w:val="28"/>
          <w:lang w:val="sl-SI" w:eastAsia="sl-SI"/>
        </w:rPr>
      </w:pPr>
      <w:r w:rsidRPr="008036C1">
        <w:rPr>
          <w:rFonts w:ascii="Verdana" w:eastAsia="Times New Roman" w:hAnsi="Verdana"/>
          <w:color w:val="000000"/>
          <w:sz w:val="28"/>
          <w:szCs w:val="28"/>
          <w:lang w:val="sl-SI" w:eastAsia="sl-SI"/>
        </w:rPr>
        <w:t xml:space="preserve">PREGLEDNICA PODANIH PRIPOMB ZA </w:t>
      </w:r>
    </w:p>
    <w:p w:rsidR="00137921" w:rsidRPr="008036C1" w:rsidRDefault="00137921" w:rsidP="008036C1">
      <w:pPr>
        <w:spacing w:after="0" w:line="240" w:lineRule="auto"/>
        <w:jc w:val="center"/>
        <w:rPr>
          <w:rFonts w:ascii="Verdana" w:eastAsia="Times New Roman" w:hAnsi="Verdana"/>
          <w:color w:val="000000"/>
          <w:sz w:val="28"/>
          <w:szCs w:val="28"/>
          <w:lang w:val="sl-SI" w:eastAsia="sl-SI"/>
        </w:rPr>
      </w:pPr>
    </w:p>
    <w:p w:rsidR="001B776E" w:rsidRPr="001B776E" w:rsidRDefault="001B776E" w:rsidP="001B776E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28"/>
          <w:szCs w:val="28"/>
          <w:lang w:val="sl-SI" w:eastAsia="sl-SI"/>
        </w:rPr>
      </w:pPr>
      <w:r w:rsidRPr="001B776E">
        <w:rPr>
          <w:rFonts w:ascii="Verdana" w:eastAsia="Times New Roman" w:hAnsi="Verdana"/>
          <w:b/>
          <w:color w:val="000000"/>
          <w:sz w:val="28"/>
          <w:szCs w:val="28"/>
          <w:lang w:val="sl-SI" w:eastAsia="sl-SI"/>
        </w:rPr>
        <w:t>ENERGETSKI KONCEPT SLOVENIJE</w:t>
      </w:r>
    </w:p>
    <w:p w:rsidR="001B776E" w:rsidRPr="001B776E" w:rsidRDefault="001B776E" w:rsidP="001B776E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28"/>
          <w:szCs w:val="28"/>
          <w:lang w:val="sl-SI" w:eastAsia="sl-SI"/>
        </w:rPr>
      </w:pPr>
      <w:r w:rsidRPr="001B776E">
        <w:rPr>
          <w:rFonts w:ascii="Verdana" w:eastAsia="Times New Roman" w:hAnsi="Verdana"/>
          <w:b/>
          <w:color w:val="000000"/>
          <w:sz w:val="28"/>
          <w:szCs w:val="28"/>
          <w:lang w:val="sl-SI" w:eastAsia="sl-SI"/>
        </w:rPr>
        <w:t xml:space="preserve">Strategija energetske politike do leta 2030 (in vizija do leta 2050) </w:t>
      </w:r>
    </w:p>
    <w:p w:rsidR="00E73870" w:rsidRDefault="001B776E" w:rsidP="001B776E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28"/>
          <w:szCs w:val="28"/>
          <w:lang w:val="sl-SI" w:eastAsia="sl-SI"/>
        </w:rPr>
      </w:pPr>
      <w:r w:rsidRPr="001B776E">
        <w:rPr>
          <w:rFonts w:ascii="Verdana" w:eastAsia="Times New Roman" w:hAnsi="Verdana"/>
          <w:b/>
          <w:color w:val="000000"/>
          <w:sz w:val="28"/>
          <w:szCs w:val="28"/>
          <w:lang w:val="sl-SI" w:eastAsia="sl-SI"/>
        </w:rPr>
        <w:t>- besedilo za javno obravnavo –</w:t>
      </w:r>
    </w:p>
    <w:p w:rsidR="001B776E" w:rsidRPr="008036C1" w:rsidRDefault="001B776E" w:rsidP="001B776E">
      <w:pPr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val="sl-SI" w:eastAsia="sl-SI"/>
        </w:rPr>
      </w:pPr>
    </w:p>
    <w:tbl>
      <w:tblPr>
        <w:tblW w:w="1393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17"/>
        <w:gridCol w:w="5670"/>
        <w:gridCol w:w="1843"/>
      </w:tblGrid>
      <w:tr w:rsidR="008036C1" w:rsidRPr="008036C1" w:rsidTr="008F0290">
        <w:trPr>
          <w:trHeight w:val="81"/>
        </w:trPr>
        <w:tc>
          <w:tcPr>
            <w:tcW w:w="6417" w:type="dxa"/>
            <w:shd w:val="clear" w:color="auto" w:fill="FBD4B4"/>
          </w:tcPr>
          <w:p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Predlagatelj in kontaktna oseba</w:t>
            </w:r>
            <w:r w:rsidRPr="008036C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:</w:t>
            </w:r>
          </w:p>
        </w:tc>
        <w:tc>
          <w:tcPr>
            <w:tcW w:w="5670" w:type="dxa"/>
            <w:shd w:val="clear" w:color="auto" w:fill="FBD4B4"/>
          </w:tcPr>
          <w:p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Naslov in telefon</w:t>
            </w:r>
            <w:r w:rsidRPr="008036C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:</w:t>
            </w:r>
          </w:p>
        </w:tc>
        <w:tc>
          <w:tcPr>
            <w:tcW w:w="1843" w:type="dxa"/>
            <w:shd w:val="clear" w:color="auto" w:fill="FBD4B4"/>
          </w:tcPr>
          <w:p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 w:rsidRPr="008036C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Datum:</w:t>
            </w:r>
          </w:p>
        </w:tc>
      </w:tr>
      <w:tr w:rsidR="008036C1" w:rsidRPr="008036C1" w:rsidTr="008F0290">
        <w:tc>
          <w:tcPr>
            <w:tcW w:w="6417" w:type="dxa"/>
          </w:tcPr>
          <w:p w:rsidR="008036C1" w:rsidRDefault="00E24B69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 xml:space="preserve"> Zveza ekoloških gibanj Slovenije</w:t>
            </w:r>
            <w:r w:rsidR="00AE326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-ZEG</w:t>
            </w:r>
          </w:p>
          <w:p w:rsidR="008036C1" w:rsidRDefault="00AE3265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 xml:space="preserve">  </w:t>
            </w:r>
            <w:r w:rsidR="00E24B6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Karel Lipič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,predsednik</w:t>
            </w:r>
          </w:p>
          <w:p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70" w:type="dxa"/>
          </w:tcPr>
          <w:p w:rsidR="008036C1" w:rsidRDefault="00AE3265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Cesta krških žrtev 53,8270 Krško</w:t>
            </w:r>
          </w:p>
          <w:p w:rsidR="00AE3265" w:rsidRPr="008036C1" w:rsidRDefault="00AE3265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GSM : 064 253 580</w:t>
            </w:r>
          </w:p>
        </w:tc>
        <w:tc>
          <w:tcPr>
            <w:tcW w:w="1843" w:type="dxa"/>
          </w:tcPr>
          <w:p w:rsidR="008036C1" w:rsidRPr="008036C1" w:rsidRDefault="00E24B69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sl-SI" w:eastAsia="sl-SI"/>
              </w:rPr>
              <w:t>6.9.2018</w:t>
            </w:r>
          </w:p>
        </w:tc>
      </w:tr>
    </w:tbl>
    <w:p w:rsidR="008036C1" w:rsidRPr="008036C1" w:rsidRDefault="008036C1" w:rsidP="008036C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l-SI" w:eastAsia="sl-SI"/>
        </w:rPr>
      </w:pPr>
    </w:p>
    <w:p w:rsidR="008036C1" w:rsidRPr="008036C1" w:rsidRDefault="008036C1" w:rsidP="008036C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val="sl-SI" w:eastAsia="sl-SI"/>
        </w:rPr>
      </w:pPr>
    </w:p>
    <w:tbl>
      <w:tblPr>
        <w:tblW w:w="1393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6501"/>
        <w:gridCol w:w="5629"/>
      </w:tblGrid>
      <w:tr w:rsidR="008036C1" w:rsidRPr="008036C1" w:rsidTr="008F0290">
        <w:trPr>
          <w:trHeight w:val="5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036C1" w:rsidRPr="008036C1" w:rsidRDefault="001B776E" w:rsidP="001B77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>Št. odstav</w:t>
            </w:r>
            <w:r w:rsidR="008036C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>k</w:t>
            </w: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>a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036C1" w:rsidRPr="008036C1" w:rsidRDefault="001B776E" w:rsidP="001B776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>Predlog spremembe besedila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036C1" w:rsidRPr="008036C1" w:rsidRDefault="008036C1" w:rsidP="008036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</w:pPr>
            <w:r w:rsidRPr="008036C1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val="sl-SI" w:eastAsia="sl-SI"/>
              </w:rPr>
              <w:t>Utemeljitev</w:t>
            </w:r>
          </w:p>
        </w:tc>
      </w:tr>
      <w:tr w:rsidR="008036C1" w:rsidRPr="008036C1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Default="003D3AE2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16</w:t>
            </w:r>
          </w:p>
          <w:p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8036C1" w:rsidRDefault="003D3AE2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V tekst besedila v tem odstavku predlagamo razširitev OVE na ustrezne gorljive odpadke. V okviru usklajevanja zakonodaje , predlagamo, da se k virom energije poleg sedanjih OVE priključijo tudi odpadki, ki po okoljski zakonodaji niso OVE, po vsebini pa so, saj bodo stalen vir energentov.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Default="003D3AE2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Odpadki, ki so po okoljski zakonodaji primerni za energetsko izrabo so po vsebini stalen alternativni energent za pridobivanje energije, tako električne kot toplotne za ogrevanje industrijskih procesov in predvsem vseh vrst objektov v zimskem času.</w:t>
            </w:r>
          </w:p>
          <w:p w:rsidR="003D3AE2" w:rsidRDefault="003D3AE2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Naprave, ki verjetno ne bodo majhne zaradi okoljsko varnega obratovanja bodo delale vedno na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vsah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dveh energetskih nivojih – za proizvodnjo električne energije in na nižjem nivoju za daljinsko ogrevanje.</w:t>
            </w:r>
          </w:p>
          <w:p w:rsidR="003D3AE2" w:rsidRDefault="00BE124D" w:rsidP="00BE124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Kot je p</w:t>
            </w:r>
            <w:r w:rsidR="003D3AE2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redlagatelj Resolucije o EKS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v uvodniku zapisal  Resolucija predstavlja strateško usmeritev razvoja energetike v SLO in bo osnova za občinske EKS in podlaga za programe in plana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zazvoja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in vlaganj v energetiko na lokalni ravni. </w:t>
            </w:r>
          </w:p>
          <w:p w:rsidR="00BE124D" w:rsidRDefault="00BE124D" w:rsidP="00BE124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Menimo, da bi vključitev določenih frakcij odpadkov v energetsko izrabo pomenila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vzpodbudo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za realizacijo idej o energetski izrabi odpadkov, saj bi neke vrste izenačitev določenih frakcij odpadkov z drugimi OVE viri omogočila uporabo vira, ki bo vedno na voljo in ki ga sedaj skladno s prakso ne moremo izrabljati v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lastRenderedPageBreak/>
              <w:t xml:space="preserve">energetske namene. </w:t>
            </w:r>
          </w:p>
          <w:p w:rsidR="00BE124D" w:rsidRDefault="00BE124D" w:rsidP="00BE124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Seveda bo pa to pobudo potrebno uskladiti z ostalo, predvsem okoljsko zakonodajo. Tu žal ne bo možno govoriti o znižanju toplogrednih plinih neposredno, posredno pa lahko, saj bi s tako pridobljeno energijo nadomestili drugo</w:t>
            </w:r>
            <w:r w:rsidR="004A2422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morda podnebno ugodnejšo.</w:t>
            </w:r>
          </w:p>
          <w:p w:rsidR="004A2422" w:rsidRDefault="004A2422" w:rsidP="00BE124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Želeli bi poudariti, da razgradljivi, gorljivi odpadki zaradi mikrobiološkega razkroja v naravi povzročajo tvorbo metana, ki je podnebno zelo problematičen.</w:t>
            </w:r>
          </w:p>
          <w:p w:rsidR="004A2422" w:rsidRPr="008036C1" w:rsidRDefault="004A2422" w:rsidP="00BE124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V ZEG menimo, da bi sežig odpadkov pomenil v širšem časovnem obdobju nižje obremenitve okolja kot če nam organsko razgradljivi odpadki razpadajo na deponijah.</w:t>
            </w:r>
          </w:p>
        </w:tc>
      </w:tr>
      <w:tr w:rsidR="008036C1" w:rsidRPr="008036C1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Default="004A2422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lastRenderedPageBreak/>
              <w:t>39</w:t>
            </w:r>
          </w:p>
          <w:p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2" w:rsidRPr="001E74C7" w:rsidRDefault="001E74C7" w:rsidP="008036C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… </w:t>
            </w:r>
            <w:r w:rsidR="006F2DD5">
              <w:rPr>
                <w:rFonts w:ascii="Verdana" w:hAnsi="Verdana"/>
                <w:sz w:val="20"/>
                <w:szCs w:val="20"/>
              </w:rPr>
              <w:t>“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Primarna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je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predelava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odpadkov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surovine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ostanek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pa se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analizira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možnost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okoljske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sprejemljive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izrabe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odpadkov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energetske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namene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. S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podporo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načelom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krožnega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gospodarstva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pričakujemo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manjši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vpliv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okolje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manjše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A2422" w:rsidRPr="001E74C7">
              <w:rPr>
                <w:rFonts w:ascii="Verdana" w:hAnsi="Verdana"/>
                <w:sz w:val="20"/>
                <w:szCs w:val="20"/>
              </w:rPr>
              <w:t>emisije</w:t>
            </w:r>
            <w:proofErr w:type="spellEnd"/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TGP</w:t>
            </w:r>
            <w:r w:rsidR="006F2DD5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>….</w:t>
            </w:r>
            <w:r w:rsidR="004A2422"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36C1" w:rsidRPr="004A2422" w:rsidRDefault="004A2422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Predlagamo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skladno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s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pripombo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odstavek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16, da se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odpadki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pomembno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vključijo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kot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vir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energije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podobno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kot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OVE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viri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8036C1" w:rsidRDefault="004A2422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Glej pripombe na odstavek 16.</w:t>
            </w:r>
          </w:p>
        </w:tc>
      </w:tr>
      <w:tr w:rsidR="008036C1" w:rsidRPr="008036C1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Default="004A2422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40</w:t>
            </w:r>
          </w:p>
          <w:p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5" w:rsidRDefault="004A2422" w:rsidP="008036C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1E74C7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…</w:t>
            </w:r>
            <w:r w:rsidR="006F2DD5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«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doseganje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ciljev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EKS-a je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še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posebej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treba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pospešiti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nadaljnji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razvoj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področjih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učinkovite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rabe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energije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obnovljivih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virov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E74C7">
              <w:rPr>
                <w:rFonts w:ascii="Verdana" w:hAnsi="Verdana"/>
                <w:sz w:val="20"/>
                <w:szCs w:val="20"/>
              </w:rPr>
              <w:t>energije</w:t>
            </w:r>
            <w:proofErr w:type="spellEnd"/>
            <w:r w:rsidRPr="001E74C7">
              <w:rPr>
                <w:rFonts w:ascii="Verdana" w:hAnsi="Verdana"/>
                <w:sz w:val="20"/>
                <w:szCs w:val="20"/>
              </w:rPr>
              <w:t>,</w:t>
            </w:r>
            <w:r w:rsidR="006F2DD5">
              <w:rPr>
                <w:rFonts w:ascii="Verdana" w:hAnsi="Verdana"/>
                <w:sz w:val="20"/>
                <w:szCs w:val="20"/>
              </w:rPr>
              <w:t>”</w:t>
            </w:r>
            <w:r w:rsidR="001E74C7" w:rsidRPr="001E74C7">
              <w:rPr>
                <w:rFonts w:ascii="Verdana" w:hAnsi="Verdana"/>
                <w:sz w:val="20"/>
                <w:szCs w:val="20"/>
              </w:rPr>
              <w:t xml:space="preserve">…. </w:t>
            </w:r>
          </w:p>
          <w:p w:rsidR="008036C1" w:rsidRPr="001E74C7" w:rsidRDefault="001E74C7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Tudi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okviru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raziskav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razvoja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potrebno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vključiti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razvijati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tehnologije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energetsko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izrabo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odpadkov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8036C1" w:rsidRDefault="001E74C7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 w:rsidRPr="001E74C7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Glej pripombe na odstavek 16.</w:t>
            </w:r>
          </w:p>
        </w:tc>
      </w:tr>
      <w:tr w:rsidR="008036C1" w:rsidRPr="008036C1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Default="006F2DD5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64</w:t>
            </w:r>
          </w:p>
          <w:p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D5" w:rsidRDefault="006F2DD5" w:rsidP="008036C1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F2DD5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… »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Zemeljski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plin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bo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imel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na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poti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do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razogljičenja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pomembno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prehodno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podporno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vlogo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pri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uravnavanju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proizvodnje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električne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energije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iz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OVE in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tudi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kot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gorivo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prometu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Prav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tako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bo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imel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pomemben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delež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pri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decentralizirani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soproizvodnji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elektrike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toplote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ogrevanje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”….. </w:t>
            </w:r>
          </w:p>
          <w:p w:rsidR="008036C1" w:rsidRPr="006F2DD5" w:rsidRDefault="006F2DD5" w:rsidP="007D763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 w:rsidRPr="006F2DD5">
              <w:rPr>
                <w:rFonts w:ascii="Verdana" w:hAnsi="Verdana"/>
                <w:sz w:val="20"/>
                <w:szCs w:val="20"/>
              </w:rPr>
              <w:t xml:space="preserve">V ZEG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predlagamo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6F2DD5">
              <w:rPr>
                <w:rFonts w:ascii="Verdana" w:hAnsi="Verdana"/>
                <w:sz w:val="20"/>
                <w:szCs w:val="20"/>
              </w:rPr>
              <w:t>da</w:t>
            </w:r>
            <w:proofErr w:type="spellEnd"/>
            <w:r w:rsidRPr="006F2DD5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uporaba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zemeljskega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plina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prometu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močneje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povdari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Predlagamo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 v EKS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vključi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uporaba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utekoč</w:t>
            </w:r>
            <w:r w:rsidR="007D7633">
              <w:rPr>
                <w:rFonts w:ascii="Verdana" w:hAnsi="Verdana"/>
                <w:sz w:val="20"/>
                <w:szCs w:val="20"/>
              </w:rPr>
              <w:t>injenega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zemeljskega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plina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v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pr</w:t>
            </w:r>
            <w:r>
              <w:rPr>
                <w:rFonts w:ascii="Verdana" w:hAnsi="Verdana"/>
                <w:sz w:val="20"/>
                <w:szCs w:val="20"/>
              </w:rPr>
              <w:t>ometu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saj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je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težek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tovorni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linijski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potniški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promet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utekočinjen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zemeljski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plin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ugodnejši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ekonomičnejši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Uporaba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utekočinjenega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zemeljskega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plina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naj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se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predvidi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tudi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pri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decentralizirani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soproizvodnji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elektrike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toplotne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D7633">
              <w:rPr>
                <w:rFonts w:ascii="Verdana" w:hAnsi="Verdana"/>
                <w:sz w:val="20"/>
                <w:szCs w:val="20"/>
              </w:rPr>
              <w:t>energije</w:t>
            </w:r>
            <w:proofErr w:type="spellEnd"/>
            <w:r w:rsidR="007D763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763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7633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Default="007D7633" w:rsidP="007D7633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Utekočinjeni zemeljski plin omogoča v prometu uporabo zemeljskega plina za pogon tudi težkih tovornih vozil, delovnih strojev in linijskih avtobusov, povsod kjer je uporaba goriva stalna,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kontinuirna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. Pri teh vozilih in delovnih strojih uporaba stisnjenega zemeljskega plina ne pride v poštev, saj so rezervoarji za prevoz plina težki, potrebno je plin na črpalkah tudi stisniti do tlaka preko 100 bar. Utekočinjeni zemeljski plin se prevaža v rezervoarjih z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nadtlajom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do 5 bar, saj je utekočinjen pri normalnem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tlaju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in zelo nizki temperatur. Zato je tudi uporaben za linijska tovorna vozila in avtobuse.</w:t>
            </w:r>
          </w:p>
          <w:p w:rsidR="007D7633" w:rsidRPr="008036C1" w:rsidRDefault="00044545" w:rsidP="00044545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lastRenderedPageBreak/>
              <w:t>Zemeljski plin v u</w:t>
            </w:r>
            <w:r w:rsidR="007D7633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tekočinjeni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obliki</w:t>
            </w:r>
            <w:r w:rsidR="007D7633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omogoča tudi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prevoz plina na lokacije kjer ni cevnih plinovodnih inštalacij, V Slo je pokritih nekaj več kot 50 % občin s cevnimi plinovodi za uporabo zemeljskega plina iz obstoječih tranzitnih in centralnih plinovodnih sistemov. Na lokacije kjer tega ni je možno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doataviti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utekočinjeni zemeljski plin in tam razviti lokalne cevne plinovodne sisteme za prebivalstvo in uporabo v industriji in obrti, ali pa v napravah za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soproizvodnjo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električne in toplotne energije, s čimer se lahko doseže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zaželjena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in potrebna decentralizacija .</w:t>
            </w:r>
          </w:p>
        </w:tc>
      </w:tr>
      <w:tr w:rsidR="008036C1" w:rsidRPr="008036C1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Default="00044545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lastRenderedPageBreak/>
              <w:t>84.</w:t>
            </w:r>
          </w:p>
          <w:p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8036C1" w:rsidRDefault="00044545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Za uporabo zemeljskega plina v tovornem prometu naj se uporablja zemeljski plin v obliki utekočinjenega zemeljskega plina.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8036C1" w:rsidRDefault="00044545" w:rsidP="0080349D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Predlagamo, da se uporaba utekočinjenega zemeljskega plina v prometu za pogon težkih tovornih vozil, linijskih avtobusov in delovnih strojev</w:t>
            </w:r>
            <w:r w:rsidR="0080349D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vključi v EKS, saj s tem poudar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imo možnost uporabe </w:t>
            </w:r>
            <w:r w:rsidR="0080349D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utekočinjenega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zemeljskega plina </w:t>
            </w:r>
            <w:r w:rsidR="0080349D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. Druge oblike zemeljskega plina v težkem prometu (kot stisnjeni zemeljski plin)  so manj ugodne. Beseda »utekočinjeni..« je primerna v EKS, v ostali zakonodaji se te besede izogibajo, ker ne želijo definirati agregatnega stanja plina, je pa to za energetsko izrabo pomembno.</w:t>
            </w:r>
            <w:bookmarkStart w:id="0" w:name="_GoBack"/>
            <w:bookmarkEnd w:id="0"/>
          </w:p>
        </w:tc>
      </w:tr>
      <w:tr w:rsidR="008036C1" w:rsidRPr="008036C1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Default="005C2D2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5.2. JEDRSKA ENERGIJA</w:t>
            </w:r>
          </w:p>
          <w:p w:rsidR="005C2D21" w:rsidRDefault="005C2D2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63</w:t>
            </w:r>
          </w:p>
          <w:p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Default="005C2D2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ZEG zahteva, da se prvi stavek črta:</w:t>
            </w:r>
          </w:p>
          <w:p w:rsidR="005C2D21" w:rsidRDefault="005C2D2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:rsidR="005C2D21" w:rsidRDefault="005C2D2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»Jedrska energija ima v Sloveniji pomembno mesto pri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nizkooglični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proizvodnji električne energije.</w:t>
            </w:r>
          </w:p>
          <w:p w:rsidR="005C2D21" w:rsidRDefault="005C2D2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:rsidR="005C2D21" w:rsidRPr="008036C1" w:rsidRDefault="005C2D21" w:rsidP="005C2D2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Gre za nestrokovni in politični pritisk jedrskega lobija, da bi skozi dokument EKS prepričal vladajočo politiko o neškodljivosti delovanja NEK in gradnji novega bloka II. </w:t>
            </w: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EE" w:rsidRDefault="005C2D21" w:rsidP="005C2D2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Jedrska energija ni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nizkooglična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, ker je pridobivanje   zelo energetsko intenzivno,prav tako pa je tudi ravnanje z jedrskimi odpadki ( Slovenija in Hrvaška še vedno nimata rešenega vprašanja NSRAO ) finančno in zdravstveno za zelo dolgo obdobje brezštevilnih prihodnjih generacij tvegano in škodljivo. Uran ni obnovljiva energija. Zato podaljšanje </w:t>
            </w:r>
            <w:r w:rsidR="00F43AEE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obstoječega NEK I do leta 2043 ni ne strokovno , ne demokratično sprejemljivo. Predlagatelj predloga EKS je namenoma ignoriral sklep MOP-ARSO o obvezni pripravi presoje vplivov na okolje NEK-a.</w:t>
            </w:r>
          </w:p>
          <w:p w:rsidR="00F43AEE" w:rsidRDefault="007E5C6C" w:rsidP="005C2D2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P.s.</w:t>
            </w:r>
          </w:p>
          <w:p w:rsidR="008036C1" w:rsidRPr="008036C1" w:rsidRDefault="00F43AEE" w:rsidP="007E5C6C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ZEG v priloženem dopisu pripomb na EKS dodatno obrazloži ozadja za politično lobiranje dela političnih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lastRenderedPageBreak/>
              <w:t xml:space="preserve">strank </w:t>
            </w:r>
            <w:r w:rsidR="007E5C6C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v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prejšnji in v sedanji  koaliciji. V dosedanji vladni koalicijski pogodbi je bilo zapisano, da </w:t>
            </w:r>
            <w:r w:rsidR="007E5C6C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bo gradnja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novega bloka </w:t>
            </w:r>
            <w:r w:rsidR="007E5C6C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NEK II predmet ljudskega ref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e</w:t>
            </w:r>
            <w:r w:rsidR="007E5C6C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re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nduma. </w:t>
            </w: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Začuda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 </w:t>
            </w:r>
            <w:r w:rsidR="007E5C6C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,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 xml:space="preserve">sedanja koalicija vladnih strank je to pomembno politično odločitev izpustila iz pogodbe, kakor tudi omembo jedrske energije ?     </w:t>
            </w:r>
          </w:p>
        </w:tc>
      </w:tr>
      <w:tr w:rsidR="008036C1" w:rsidRPr="008036C1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8036C1" w:rsidRDefault="005C2D2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1</w:t>
            </w:r>
          </w:p>
        </w:tc>
      </w:tr>
      <w:tr w:rsidR="008036C1" w:rsidRPr="008036C1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  <w:tr w:rsidR="008036C1" w:rsidRPr="008036C1" w:rsidTr="008F029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  <w:p w:rsid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  <w:tc>
          <w:tcPr>
            <w:tcW w:w="5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C1" w:rsidRPr="008036C1" w:rsidRDefault="008036C1" w:rsidP="008036C1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</w:pPr>
          </w:p>
        </w:tc>
      </w:tr>
    </w:tbl>
    <w:p w:rsidR="0016315C" w:rsidRDefault="0016315C" w:rsidP="008036C1"/>
    <w:p w:rsidR="007E5C6C" w:rsidRDefault="007E5C6C" w:rsidP="008036C1"/>
    <w:sectPr w:rsidR="007E5C6C" w:rsidSect="008036C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036C1"/>
    <w:rsid w:val="00044545"/>
    <w:rsid w:val="00074F6F"/>
    <w:rsid w:val="00137921"/>
    <w:rsid w:val="0016315C"/>
    <w:rsid w:val="001B776E"/>
    <w:rsid w:val="001E74C7"/>
    <w:rsid w:val="002406F9"/>
    <w:rsid w:val="00315290"/>
    <w:rsid w:val="00392459"/>
    <w:rsid w:val="003D3AE2"/>
    <w:rsid w:val="0044104A"/>
    <w:rsid w:val="004A2422"/>
    <w:rsid w:val="00526016"/>
    <w:rsid w:val="005C2D21"/>
    <w:rsid w:val="00611D63"/>
    <w:rsid w:val="00622CB0"/>
    <w:rsid w:val="006426FD"/>
    <w:rsid w:val="006C00A5"/>
    <w:rsid w:val="006F2DD5"/>
    <w:rsid w:val="00783FE9"/>
    <w:rsid w:val="007D7633"/>
    <w:rsid w:val="007E5C6C"/>
    <w:rsid w:val="007F40C5"/>
    <w:rsid w:val="0080349D"/>
    <w:rsid w:val="008036C1"/>
    <w:rsid w:val="00806FC9"/>
    <w:rsid w:val="008F0290"/>
    <w:rsid w:val="008F2DD8"/>
    <w:rsid w:val="009B06C0"/>
    <w:rsid w:val="00A60022"/>
    <w:rsid w:val="00AE3265"/>
    <w:rsid w:val="00B93711"/>
    <w:rsid w:val="00B93FC0"/>
    <w:rsid w:val="00BD5736"/>
    <w:rsid w:val="00BE124D"/>
    <w:rsid w:val="00C93908"/>
    <w:rsid w:val="00CA0D9D"/>
    <w:rsid w:val="00E04D8F"/>
    <w:rsid w:val="00E24B69"/>
    <w:rsid w:val="00E73870"/>
    <w:rsid w:val="00F4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37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pripombe</vt:lpstr>
    </vt:vector>
  </TitlesOfParts>
  <Company>MG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pripombe</dc:title>
  <dc:creator>MZI</dc:creator>
  <cp:lastModifiedBy>Računalnik</cp:lastModifiedBy>
  <cp:revision>2</cp:revision>
  <cp:lastPrinted>2014-06-24T08:34:00Z</cp:lastPrinted>
  <dcterms:created xsi:type="dcterms:W3CDTF">2018-09-23T20:50:00Z</dcterms:created>
  <dcterms:modified xsi:type="dcterms:W3CDTF">2018-09-23T20:50:00Z</dcterms:modified>
</cp:coreProperties>
</file>