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0C" w:rsidRPr="00254C0C" w:rsidRDefault="00254C0C" w:rsidP="00254C0C">
      <w:pPr>
        <w:pStyle w:val="NormalWeb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</w:rPr>
      </w:pPr>
      <w:r w:rsidRPr="00254C0C">
        <w:rPr>
          <w:rFonts w:eastAsiaTheme="majorEastAsia"/>
          <w:b/>
          <w:bCs/>
          <w:color w:val="000000" w:themeColor="text1"/>
          <w:kern w:val="24"/>
        </w:rPr>
        <w:t>Celovite rešitve</w:t>
      </w:r>
      <w:r w:rsidRPr="00254C0C">
        <w:rPr>
          <w:rFonts w:eastAsiaTheme="majorEastAsia"/>
          <w:b/>
          <w:bCs/>
          <w:color w:val="000000" w:themeColor="text1"/>
          <w:kern w:val="24"/>
          <w:lang w:val="en-US"/>
        </w:rPr>
        <w:t xml:space="preserve">, </w:t>
      </w:r>
      <w:proofErr w:type="spellStart"/>
      <w:r w:rsidRPr="00254C0C">
        <w:rPr>
          <w:rFonts w:eastAsiaTheme="majorEastAsia"/>
          <w:b/>
          <w:bCs/>
          <w:color w:val="000000" w:themeColor="text1"/>
          <w:kern w:val="24"/>
          <w:lang w:val="en-US"/>
        </w:rPr>
        <w:t>ki</w:t>
      </w:r>
      <w:proofErr w:type="spellEnd"/>
      <w:r w:rsidRPr="00254C0C">
        <w:rPr>
          <w:rFonts w:eastAsiaTheme="majorEastAsia"/>
          <w:b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54C0C">
        <w:rPr>
          <w:rFonts w:eastAsiaTheme="majorEastAsia"/>
          <w:b/>
          <w:bCs/>
          <w:color w:val="000000" w:themeColor="text1"/>
          <w:kern w:val="24"/>
          <w:lang w:val="en-US"/>
        </w:rPr>
        <w:t>jih</w:t>
      </w:r>
      <w:proofErr w:type="spellEnd"/>
      <w:r w:rsidRPr="00254C0C">
        <w:rPr>
          <w:rFonts w:eastAsiaTheme="majorEastAsia"/>
          <w:b/>
          <w:bCs/>
          <w:color w:val="000000" w:themeColor="text1"/>
          <w:kern w:val="24"/>
          <w:lang w:val="en-US"/>
        </w:rPr>
        <w:t xml:space="preserve"> mora </w:t>
      </w:r>
      <w:proofErr w:type="spellStart"/>
      <w:r w:rsidRPr="00254C0C">
        <w:rPr>
          <w:rFonts w:eastAsiaTheme="majorEastAsia"/>
          <w:b/>
          <w:bCs/>
          <w:color w:val="000000" w:themeColor="text1"/>
          <w:kern w:val="24"/>
          <w:lang w:val="en-US"/>
        </w:rPr>
        <w:t>omogočiti</w:t>
      </w:r>
      <w:proofErr w:type="spellEnd"/>
      <w:r w:rsidRPr="00254C0C">
        <w:rPr>
          <w:rFonts w:eastAsiaTheme="majorEastAsia"/>
          <w:b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54C0C">
        <w:rPr>
          <w:rFonts w:eastAsiaTheme="majorEastAsia"/>
          <w:b/>
          <w:bCs/>
          <w:color w:val="000000" w:themeColor="text1"/>
          <w:kern w:val="24"/>
          <w:lang w:val="en-US"/>
        </w:rPr>
        <w:t>država</w:t>
      </w:r>
      <w:proofErr w:type="spellEnd"/>
      <w:r w:rsidRPr="00254C0C">
        <w:rPr>
          <w:rFonts w:eastAsiaTheme="majorEastAsia"/>
          <w:b/>
          <w:bCs/>
          <w:color w:val="000000" w:themeColor="text1"/>
          <w:kern w:val="24"/>
        </w:rPr>
        <w:t xml:space="preserve"> </w:t>
      </w:r>
    </w:p>
    <w:p w:rsidR="00254C0C" w:rsidRPr="00254C0C" w:rsidRDefault="00254C0C" w:rsidP="00254C0C">
      <w:pPr>
        <w:pStyle w:val="NormalWeb"/>
        <w:spacing w:before="0" w:beforeAutospacing="0" w:after="0" w:afterAutospacing="0"/>
        <w:rPr>
          <w:rFonts w:eastAsiaTheme="majorEastAsia"/>
          <w:b/>
          <w:bCs/>
          <w:color w:val="000000" w:themeColor="text1"/>
          <w:kern w:val="24"/>
        </w:rPr>
      </w:pPr>
      <w:r w:rsidRPr="00254C0C">
        <w:rPr>
          <w:rFonts w:eastAsiaTheme="majorEastAsia"/>
          <w:b/>
          <w:bCs/>
          <w:color w:val="000000" w:themeColor="text1"/>
          <w:kern w:val="24"/>
        </w:rPr>
        <w:t>Za gospodarjenje, ki omogoča trajnostni razvoj</w:t>
      </w:r>
    </w:p>
    <w:p w:rsidR="00254C0C" w:rsidRDefault="00254C0C" w:rsidP="00254C0C">
      <w:pPr>
        <w:pStyle w:val="NormalWeb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 w:themeColor="text1"/>
          <w:kern w:val="24"/>
          <w:lang w:val="en-GB"/>
        </w:rPr>
      </w:pPr>
    </w:p>
    <w:p w:rsidR="00254C0C" w:rsidRDefault="00254C0C" w:rsidP="00254C0C">
      <w:pPr>
        <w:pStyle w:val="NormalWeb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 w:themeColor="text1"/>
          <w:kern w:val="24"/>
          <w:lang w:val="en-GB"/>
        </w:rPr>
      </w:pPr>
      <w:proofErr w:type="spellStart"/>
      <w:r>
        <w:rPr>
          <w:rFonts w:eastAsiaTheme="majorEastAsia"/>
          <w:b/>
          <w:bCs/>
          <w:color w:val="000000" w:themeColor="text1"/>
          <w:kern w:val="24"/>
          <w:lang w:val="en-GB"/>
        </w:rPr>
        <w:t>Stranka</w:t>
      </w:r>
      <w:proofErr w:type="spellEnd"/>
      <w:r>
        <w:rPr>
          <w:rFonts w:eastAsiaTheme="majorEastAsia"/>
          <w:b/>
          <w:bCs/>
          <w:color w:val="000000" w:themeColor="text1"/>
          <w:kern w:val="24"/>
          <w:lang w:val="en-GB"/>
        </w:rPr>
        <w:t xml:space="preserve"> se </w:t>
      </w:r>
      <w:proofErr w:type="spellStart"/>
      <w:r>
        <w:rPr>
          <w:rFonts w:eastAsiaTheme="majorEastAsia"/>
          <w:b/>
          <w:bCs/>
          <w:color w:val="000000" w:themeColor="text1"/>
          <w:kern w:val="24"/>
          <w:lang w:val="en-GB"/>
        </w:rPr>
        <w:t>zavzema</w:t>
      </w:r>
      <w:proofErr w:type="spellEnd"/>
      <w:r>
        <w:rPr>
          <w:rFonts w:eastAsiaTheme="majorEastAsia"/>
          <w:b/>
          <w:bCs/>
          <w:color w:val="000000" w:themeColor="text1"/>
          <w:kern w:val="24"/>
          <w:lang w:val="en-GB"/>
        </w:rPr>
        <w:t xml:space="preserve"> za </w:t>
      </w:r>
    </w:p>
    <w:p w:rsidR="00254C0C" w:rsidRPr="00254C0C" w:rsidRDefault="00254C0C" w:rsidP="00254C0C">
      <w:pPr>
        <w:pStyle w:val="NormalWeb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 w:themeColor="text1"/>
          <w:kern w:val="24"/>
          <w:lang w:val="en-GB"/>
        </w:rPr>
      </w:pPr>
    </w:p>
    <w:p w:rsidR="00254C0C" w:rsidRPr="00254C0C" w:rsidRDefault="00254C0C" w:rsidP="00254C0C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254C0C">
        <w:rPr>
          <w:rFonts w:eastAsiaTheme="majorEastAsia"/>
          <w:b/>
          <w:bCs/>
          <w:color w:val="000000" w:themeColor="text1"/>
          <w:kern w:val="24"/>
          <w:lang w:val="en-GB"/>
        </w:rPr>
        <w:t xml:space="preserve">1. </w:t>
      </w:r>
      <w:r w:rsidRPr="00254C0C">
        <w:rPr>
          <w:rFonts w:eastAsiaTheme="majorEastAsia"/>
          <w:b/>
          <w:bCs/>
          <w:color w:val="000000" w:themeColor="text1"/>
          <w:kern w:val="24"/>
        </w:rPr>
        <w:t>Vlaganje v ohranjanje naravnega kapitala</w:t>
      </w:r>
    </w:p>
    <w:p w:rsidR="00254C0C" w:rsidRPr="00254C0C" w:rsidRDefault="00254C0C" w:rsidP="00254C0C">
      <w:pPr>
        <w:pStyle w:val="ListParagraph"/>
        <w:numPr>
          <w:ilvl w:val="0"/>
          <w:numId w:val="1"/>
        </w:numPr>
        <w:ind w:left="0"/>
        <w:textAlignment w:val="baseline"/>
        <w:rPr>
          <w:rFonts w:eastAsia="Times New Roman"/>
          <w:color w:val="000000" w:themeColor="text1"/>
        </w:rPr>
      </w:pPr>
      <w:r w:rsidRPr="00254C0C">
        <w:rPr>
          <w:color w:val="000000" w:themeColor="text1"/>
          <w:kern w:val="24"/>
        </w:rPr>
        <w:t>Prepoznavanje in izboljševanje  gospodarskega in socialnega potenciala, ki ga ima naravni kapital</w:t>
      </w:r>
    </w:p>
    <w:p w:rsidR="00254C0C" w:rsidRPr="00254C0C" w:rsidRDefault="00254C0C" w:rsidP="00254C0C">
      <w:pPr>
        <w:pStyle w:val="NormalWeb"/>
        <w:spacing w:before="0" w:beforeAutospacing="0" w:after="0" w:afterAutospacing="0"/>
        <w:ind w:hanging="547"/>
        <w:textAlignment w:val="baseline"/>
        <w:rPr>
          <w:color w:val="000000" w:themeColor="text1"/>
          <w:kern w:val="24"/>
        </w:rPr>
      </w:pPr>
      <w:r w:rsidRPr="00254C0C">
        <w:rPr>
          <w:color w:val="000000" w:themeColor="text1"/>
          <w:kern w:val="24"/>
        </w:rPr>
        <w:t xml:space="preserve">   </w:t>
      </w:r>
      <w:r w:rsidRPr="00254C0C">
        <w:rPr>
          <w:color w:val="000000" w:themeColor="text1"/>
          <w:kern w:val="24"/>
        </w:rPr>
        <w:t xml:space="preserve">       </w:t>
      </w:r>
      <w:r w:rsidRPr="00254C0C">
        <w:rPr>
          <w:color w:val="000000" w:themeColor="text1"/>
          <w:kern w:val="24"/>
        </w:rPr>
        <w:t xml:space="preserve">odpravljanje subvencij za škodljive vplive, prepoved </w:t>
      </w:r>
      <w:proofErr w:type="spellStart"/>
      <w:r w:rsidRPr="00254C0C">
        <w:rPr>
          <w:color w:val="000000" w:themeColor="text1"/>
          <w:kern w:val="24"/>
        </w:rPr>
        <w:t>netrajnostne</w:t>
      </w:r>
      <w:proofErr w:type="spellEnd"/>
      <w:r w:rsidRPr="00254C0C">
        <w:rPr>
          <w:color w:val="000000" w:themeColor="text1"/>
          <w:kern w:val="24"/>
        </w:rPr>
        <w:t xml:space="preserve"> rabe prostora, vode, drugih naravnih virov, operativni programi za spodbujanje inovacij in naložb  </w:t>
      </w:r>
    </w:p>
    <w:p w:rsidR="00254C0C" w:rsidRPr="00254C0C" w:rsidRDefault="00254C0C" w:rsidP="00254C0C">
      <w:pPr>
        <w:pStyle w:val="NormalWeb"/>
        <w:spacing w:before="0" w:beforeAutospacing="0" w:after="0" w:afterAutospacing="0"/>
        <w:ind w:hanging="547"/>
        <w:textAlignment w:val="baseline"/>
        <w:rPr>
          <w:color w:val="000000" w:themeColor="text1"/>
        </w:rPr>
      </w:pPr>
    </w:p>
    <w:p w:rsidR="00254C0C" w:rsidRPr="00254C0C" w:rsidRDefault="00254C0C" w:rsidP="00254C0C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254C0C">
        <w:rPr>
          <w:b/>
          <w:bCs/>
          <w:color w:val="000000" w:themeColor="text1"/>
          <w:lang w:val="en-GB"/>
        </w:rPr>
        <w:t xml:space="preserve">2. </w:t>
      </w:r>
      <w:r w:rsidRPr="00254C0C">
        <w:rPr>
          <w:b/>
          <w:bCs/>
          <w:color w:val="000000" w:themeColor="text1"/>
        </w:rPr>
        <w:t>Vlaganje v ljudi</w:t>
      </w:r>
    </w:p>
    <w:p w:rsidR="00254C0C" w:rsidRPr="00254C0C" w:rsidRDefault="00254C0C" w:rsidP="00254C0C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textAlignment w:val="baseline"/>
        <w:rPr>
          <w:color w:val="000000" w:themeColor="text1"/>
        </w:rPr>
      </w:pPr>
      <w:r w:rsidRPr="00254C0C">
        <w:rPr>
          <w:color w:val="000000" w:themeColor="text1"/>
        </w:rPr>
        <w:t>Nova zelena znanja in veščine --   ustrezne izobraževalne politike</w:t>
      </w:r>
    </w:p>
    <w:p w:rsidR="00254C0C" w:rsidRPr="00254C0C" w:rsidRDefault="00254C0C" w:rsidP="00254C0C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color w:val="000000" w:themeColor="text1"/>
        </w:rPr>
      </w:pPr>
      <w:r w:rsidRPr="00254C0C">
        <w:rPr>
          <w:color w:val="000000" w:themeColor="text1"/>
        </w:rPr>
        <w:t xml:space="preserve">Programi usposabljanja in </w:t>
      </w:r>
      <w:proofErr w:type="spellStart"/>
      <w:r w:rsidRPr="00254C0C">
        <w:rPr>
          <w:color w:val="000000" w:themeColor="text1"/>
        </w:rPr>
        <w:t>preusposabljanja</w:t>
      </w:r>
      <w:proofErr w:type="spellEnd"/>
      <w:r w:rsidRPr="00254C0C">
        <w:rPr>
          <w:color w:val="000000" w:themeColor="text1"/>
        </w:rPr>
        <w:t xml:space="preserve">   -    ključni del politik trga dela</w:t>
      </w:r>
    </w:p>
    <w:p w:rsidR="00254C0C" w:rsidRPr="00254C0C" w:rsidRDefault="00254C0C" w:rsidP="00254C0C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textAlignment w:val="baseline"/>
        <w:rPr>
          <w:color w:val="000000" w:themeColor="text1"/>
        </w:rPr>
      </w:pPr>
      <w:r w:rsidRPr="00254C0C">
        <w:rPr>
          <w:color w:val="000000" w:themeColor="text1"/>
        </w:rPr>
        <w:t xml:space="preserve">Odpravljanje revščine, neenakosti -   npr. spodbujanje socialnega podjetništva. </w:t>
      </w:r>
    </w:p>
    <w:p w:rsidR="00254C0C" w:rsidRDefault="00254C0C" w:rsidP="00254C0C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254C0C">
        <w:rPr>
          <w:color w:val="000000" w:themeColor="text1"/>
        </w:rPr>
        <w:t>Politike, ki se posvečajo vprašanjem pravičnosti</w:t>
      </w:r>
    </w:p>
    <w:p w:rsidR="00254C0C" w:rsidRPr="00254C0C" w:rsidRDefault="00254C0C" w:rsidP="00254C0C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</w:p>
    <w:p w:rsidR="00254C0C" w:rsidRPr="00254C0C" w:rsidRDefault="00254C0C" w:rsidP="0025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3. </w:t>
      </w:r>
      <w:r w:rsidRPr="00254C0C">
        <w:rPr>
          <w:rFonts w:ascii="Times New Roman" w:hAnsi="Times New Roman" w:cs="Times New Roman"/>
          <w:b/>
          <w:bCs/>
          <w:sz w:val="24"/>
          <w:szCs w:val="24"/>
        </w:rPr>
        <w:t>Ozelenitev k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54C0C">
        <w:rPr>
          <w:rFonts w:ascii="Times New Roman" w:hAnsi="Times New Roman" w:cs="Times New Roman"/>
          <w:b/>
          <w:bCs/>
          <w:sz w:val="24"/>
          <w:szCs w:val="24"/>
        </w:rPr>
        <w:t>j</w:t>
      </w:r>
      <w:bookmarkStart w:id="0" w:name="_GoBack"/>
      <w:bookmarkEnd w:id="0"/>
      <w:r w:rsidRPr="00254C0C">
        <w:rPr>
          <w:rFonts w:ascii="Times New Roman" w:hAnsi="Times New Roman" w:cs="Times New Roman"/>
          <w:b/>
          <w:bCs/>
          <w:sz w:val="24"/>
          <w:szCs w:val="24"/>
        </w:rPr>
        <w:t>učnih gospodarskih sektorjev</w:t>
      </w:r>
    </w:p>
    <w:p w:rsidR="00000000" w:rsidRPr="00254C0C" w:rsidRDefault="00254C0C" w:rsidP="00254C0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Energetika</w:t>
      </w:r>
      <w:proofErr w:type="spellEnd"/>
      <w:r w:rsidRPr="00254C0C">
        <w:rPr>
          <w:rFonts w:ascii="Times New Roman" w:hAnsi="Times New Roman" w:cs="Times New Roman"/>
          <w:sz w:val="24"/>
          <w:szCs w:val="24"/>
        </w:rPr>
        <w:t xml:space="preserve"> </w:t>
      </w:r>
      <w:r w:rsidRPr="00254C0C">
        <w:rPr>
          <w:rFonts w:ascii="Times New Roman" w:hAnsi="Times New Roman" w:cs="Times New Roman"/>
          <w:sz w:val="24"/>
          <w:szCs w:val="24"/>
        </w:rPr>
        <w:t xml:space="preserve">(prednost </w:t>
      </w:r>
      <w:proofErr w:type="spellStart"/>
      <w:r w:rsidRPr="00254C0C">
        <w:rPr>
          <w:rFonts w:ascii="Times New Roman" w:hAnsi="Times New Roman" w:cs="Times New Roman"/>
          <w:sz w:val="24"/>
          <w:szCs w:val="24"/>
        </w:rPr>
        <w:t>nizkoogljičnim</w:t>
      </w:r>
      <w:proofErr w:type="spellEnd"/>
      <w:r w:rsidRPr="00254C0C">
        <w:rPr>
          <w:rFonts w:ascii="Times New Roman" w:hAnsi="Times New Roman" w:cs="Times New Roman"/>
          <w:sz w:val="24"/>
          <w:szCs w:val="24"/>
        </w:rPr>
        <w:t xml:space="preserve"> virom)</w:t>
      </w:r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254C0C" w:rsidRDefault="00254C0C" w:rsidP="00254C0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4C0C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romet</w:t>
      </w:r>
      <w:proofErr w:type="spellEnd"/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C0C">
        <w:rPr>
          <w:rFonts w:ascii="Times New Roman" w:hAnsi="Times New Roman" w:cs="Times New Roman"/>
          <w:sz w:val="24"/>
          <w:szCs w:val="24"/>
        </w:rPr>
        <w:t>(umirjanje cestnega, železnice, javni prevoz)</w:t>
      </w:r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254C0C" w:rsidRDefault="00254C0C" w:rsidP="00254C0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4C0C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radbeni</w:t>
      </w:r>
      <w:r w:rsidRPr="00254C0C">
        <w:rPr>
          <w:rFonts w:ascii="Times New Roman" w:hAnsi="Times New Roman" w:cs="Times New Roman"/>
          <w:sz w:val="24"/>
          <w:szCs w:val="24"/>
        </w:rPr>
        <w:t>štvo</w:t>
      </w:r>
      <w:proofErr w:type="spellEnd"/>
      <w:r w:rsidRPr="00254C0C">
        <w:rPr>
          <w:rFonts w:ascii="Times New Roman" w:hAnsi="Times New Roman" w:cs="Times New Roman"/>
          <w:sz w:val="24"/>
          <w:szCs w:val="24"/>
        </w:rPr>
        <w:t>, obstoječe zgradbe</w:t>
      </w:r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C0C">
        <w:rPr>
          <w:rFonts w:ascii="Times New Roman" w:hAnsi="Times New Roman" w:cs="Times New Roman"/>
          <w:sz w:val="24"/>
          <w:szCs w:val="24"/>
        </w:rPr>
        <w:t>(novi energetski standardi)</w:t>
      </w:r>
    </w:p>
    <w:p w:rsidR="00000000" w:rsidRPr="00254C0C" w:rsidRDefault="00254C0C" w:rsidP="00254C0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4C0C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metijstvo</w:t>
      </w:r>
      <w:proofErr w:type="spellEnd"/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C0C">
        <w:rPr>
          <w:rFonts w:ascii="Times New Roman" w:hAnsi="Times New Roman" w:cs="Times New Roman"/>
          <w:sz w:val="24"/>
          <w:szCs w:val="24"/>
        </w:rPr>
        <w:t>(zmanjšanje škodljivih vplivov na vode, zrak, biotsko raznovrstnost)</w:t>
      </w:r>
    </w:p>
    <w:p w:rsidR="00000000" w:rsidRPr="00254C0C" w:rsidRDefault="00254C0C" w:rsidP="00254C0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Zelena</w:t>
      </w:r>
      <w:proofErr w:type="spellEnd"/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infrastruktura</w:t>
      </w:r>
      <w:proofErr w:type="spellEnd"/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C0C">
        <w:rPr>
          <w:rFonts w:ascii="Times New Roman" w:hAnsi="Times New Roman" w:cs="Times New Roman"/>
          <w:sz w:val="24"/>
          <w:szCs w:val="24"/>
        </w:rPr>
        <w:t>(</w:t>
      </w:r>
      <w:r w:rsidRPr="00254C0C">
        <w:rPr>
          <w:rFonts w:ascii="Times New Roman" w:hAnsi="Times New Roman" w:cs="Times New Roman"/>
          <w:sz w:val="24"/>
          <w:szCs w:val="24"/>
        </w:rPr>
        <w:t>za energetsko učinkovitost</w:t>
      </w:r>
      <w:r w:rsidRPr="00254C0C">
        <w:rPr>
          <w:rFonts w:ascii="Times New Roman" w:hAnsi="Times New Roman" w:cs="Times New Roman"/>
          <w:sz w:val="24"/>
          <w:szCs w:val="24"/>
        </w:rPr>
        <w:t>)</w:t>
      </w:r>
    </w:p>
    <w:p w:rsidR="00000000" w:rsidRPr="00254C0C" w:rsidRDefault="00254C0C" w:rsidP="00254C0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4C0C">
        <w:rPr>
          <w:rFonts w:ascii="Times New Roman" w:hAnsi="Times New Roman" w:cs="Times New Roman"/>
          <w:sz w:val="24"/>
          <w:szCs w:val="24"/>
        </w:rPr>
        <w:t>Industrija (</w:t>
      </w:r>
      <w:r w:rsidRPr="00254C0C">
        <w:rPr>
          <w:rFonts w:ascii="Times New Roman" w:hAnsi="Times New Roman" w:cs="Times New Roman"/>
          <w:sz w:val="24"/>
          <w:szCs w:val="24"/>
        </w:rPr>
        <w:t>bistveno manjša energetska intenzivnost, manjša raba vode)</w:t>
      </w:r>
    </w:p>
    <w:p w:rsidR="00254C0C" w:rsidRPr="00254C0C" w:rsidRDefault="00254C0C" w:rsidP="0025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C0C">
        <w:rPr>
          <w:rFonts w:ascii="Times New Roman" w:hAnsi="Times New Roman" w:cs="Times New Roman"/>
          <w:sz w:val="24"/>
          <w:szCs w:val="24"/>
        </w:rPr>
        <w:t xml:space="preserve"> POLITIKE za 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inovacije</w:t>
      </w:r>
      <w:proofErr w:type="spellEnd"/>
      <w:r w:rsidRPr="00254C0C">
        <w:rPr>
          <w:rFonts w:ascii="Times New Roman" w:hAnsi="Times New Roman" w:cs="Times New Roman"/>
          <w:sz w:val="24"/>
          <w:szCs w:val="24"/>
        </w:rPr>
        <w:t>,</w:t>
      </w:r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C0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spodbud</w:t>
      </w:r>
      <w:proofErr w:type="spellEnd"/>
      <w:r w:rsidRPr="00254C0C">
        <w:rPr>
          <w:rFonts w:ascii="Times New Roman" w:hAnsi="Times New Roman" w:cs="Times New Roman"/>
          <w:sz w:val="24"/>
          <w:szCs w:val="24"/>
        </w:rPr>
        <w:t>e, za dolgoročno planiranja</w:t>
      </w:r>
    </w:p>
    <w:p w:rsidR="00254C0C" w:rsidRPr="00254C0C" w:rsidRDefault="00254C0C" w:rsidP="0025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0C" w:rsidRDefault="00254C0C" w:rsidP="0025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54C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>Vplivanje</w:t>
      </w:r>
      <w:proofErr w:type="spellEnd"/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>na</w:t>
      </w:r>
      <w:proofErr w:type="spellEnd"/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>finančne</w:t>
      </w:r>
      <w:proofErr w:type="spellEnd"/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54C0C">
        <w:rPr>
          <w:rFonts w:ascii="Times New Roman" w:hAnsi="Times New Roman" w:cs="Times New Roman"/>
          <w:b/>
          <w:bCs/>
          <w:sz w:val="24"/>
          <w:szCs w:val="24"/>
          <w:lang w:val="en-GB"/>
        </w:rPr>
        <w:t>tokove</w:t>
      </w:r>
      <w:proofErr w:type="spellEnd"/>
    </w:p>
    <w:p w:rsidR="00000000" w:rsidRPr="00254C0C" w:rsidRDefault="00254C0C" w:rsidP="00254C0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4C0C">
        <w:rPr>
          <w:rFonts w:ascii="Times New Roman" w:hAnsi="Times New Roman" w:cs="Times New Roman"/>
          <w:sz w:val="24"/>
          <w:szCs w:val="24"/>
        </w:rPr>
        <w:t xml:space="preserve">Finančno ovrednotenje </w:t>
      </w:r>
      <w:proofErr w:type="spellStart"/>
      <w:r w:rsidRPr="00254C0C">
        <w:rPr>
          <w:rFonts w:ascii="Times New Roman" w:hAnsi="Times New Roman" w:cs="Times New Roman"/>
          <w:sz w:val="24"/>
          <w:szCs w:val="24"/>
        </w:rPr>
        <w:t>okoljskih</w:t>
      </w:r>
      <w:proofErr w:type="spellEnd"/>
      <w:r w:rsidRPr="00254C0C">
        <w:rPr>
          <w:rFonts w:ascii="Times New Roman" w:hAnsi="Times New Roman" w:cs="Times New Roman"/>
          <w:sz w:val="24"/>
          <w:szCs w:val="24"/>
        </w:rPr>
        <w:t xml:space="preserve"> storitev in njihovih bodočih koristi, i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zplačil</w:t>
      </w:r>
      <w:proofErr w:type="spellEnd"/>
      <w:r w:rsidRPr="00254C0C">
        <w:rPr>
          <w:rFonts w:ascii="Times New Roman" w:hAnsi="Times New Roman" w:cs="Times New Roman"/>
          <w:sz w:val="24"/>
          <w:szCs w:val="24"/>
        </w:rPr>
        <w:t>a</w:t>
      </w:r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ohranjanja</w:t>
      </w:r>
      <w:proofErr w:type="spellEnd"/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storitev</w:t>
      </w:r>
      <w:proofErr w:type="spellEnd"/>
      <w:r w:rsidRPr="002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C0C">
        <w:rPr>
          <w:rFonts w:ascii="Times New Roman" w:hAnsi="Times New Roman" w:cs="Times New Roman"/>
          <w:sz w:val="24"/>
          <w:szCs w:val="24"/>
          <w:lang w:val="en-US"/>
        </w:rPr>
        <w:t>ekosistemov</w:t>
      </w:r>
      <w:proofErr w:type="spellEnd"/>
    </w:p>
    <w:p w:rsidR="00000000" w:rsidRPr="00254C0C" w:rsidRDefault="00254C0C" w:rsidP="00254C0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54C0C">
        <w:rPr>
          <w:rFonts w:ascii="Times New Roman" w:hAnsi="Times New Roman" w:cs="Times New Roman"/>
          <w:sz w:val="24"/>
          <w:szCs w:val="24"/>
        </w:rPr>
        <w:t>Okoljska</w:t>
      </w:r>
      <w:proofErr w:type="spellEnd"/>
      <w:r w:rsidRPr="00254C0C">
        <w:rPr>
          <w:rFonts w:ascii="Times New Roman" w:hAnsi="Times New Roman" w:cs="Times New Roman"/>
          <w:sz w:val="24"/>
          <w:szCs w:val="24"/>
        </w:rPr>
        <w:t xml:space="preserve"> fiskalna reforma </w:t>
      </w:r>
      <w:r w:rsidRPr="00254C0C">
        <w:rPr>
          <w:rFonts w:ascii="Times New Roman" w:hAnsi="Times New Roman" w:cs="Times New Roman"/>
          <w:sz w:val="24"/>
          <w:szCs w:val="24"/>
        </w:rPr>
        <w:t>(širša kot le zelena davčna reforma, upoštevanje eksternih stroškov, zaračunavanje onesnaženja</w:t>
      </w:r>
      <w:r w:rsidRPr="00254C0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00000" w:rsidRPr="00254C0C" w:rsidRDefault="00254C0C" w:rsidP="00254C0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4C0C">
        <w:rPr>
          <w:rFonts w:ascii="Times New Roman" w:hAnsi="Times New Roman" w:cs="Times New Roman"/>
          <w:sz w:val="24"/>
          <w:szCs w:val="24"/>
        </w:rPr>
        <w:t>Privabljanje zelenih vlaganj (“</w:t>
      </w:r>
      <w:r w:rsidRPr="00254C0C">
        <w:rPr>
          <w:rFonts w:ascii="Times New Roman" w:hAnsi="Times New Roman" w:cs="Times New Roman"/>
          <w:sz w:val="24"/>
          <w:szCs w:val="24"/>
        </w:rPr>
        <w:t>potrpežljivega” kapitala, ki ne špekuli</w:t>
      </w:r>
      <w:r w:rsidRPr="00254C0C">
        <w:rPr>
          <w:rFonts w:ascii="Times New Roman" w:hAnsi="Times New Roman" w:cs="Times New Roman"/>
          <w:sz w:val="24"/>
          <w:szCs w:val="24"/>
        </w:rPr>
        <w:t>ra in ki ne pričakuje hitrih dobičkov</w:t>
      </w:r>
      <w:r w:rsidRPr="00254C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Pr="00254C0C" w:rsidRDefault="00254C0C" w:rsidP="00254C0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4C0C">
        <w:rPr>
          <w:rFonts w:ascii="Times New Roman" w:hAnsi="Times New Roman" w:cs="Times New Roman"/>
          <w:sz w:val="24"/>
          <w:szCs w:val="24"/>
        </w:rPr>
        <w:t>Konec osredotočanja na BDP kot merilo napredka</w:t>
      </w:r>
      <w:r w:rsidRPr="00254C0C">
        <w:rPr>
          <w:rFonts w:ascii="Times New Roman" w:hAnsi="Times New Roman" w:cs="Times New Roman"/>
          <w:sz w:val="24"/>
          <w:szCs w:val="24"/>
        </w:rPr>
        <w:t>, saj ne upošteva prispevka naravnih dobrin k blaginji, zdravju in dobremu počutju</w:t>
      </w:r>
    </w:p>
    <w:p w:rsidR="00254C0C" w:rsidRPr="00254C0C" w:rsidRDefault="00254C0C">
      <w:pPr>
        <w:rPr>
          <w:rFonts w:ascii="Times New Roman" w:hAnsi="Times New Roman" w:cs="Times New Roman"/>
          <w:sz w:val="24"/>
          <w:szCs w:val="24"/>
        </w:rPr>
      </w:pPr>
    </w:p>
    <w:sectPr w:rsidR="00254C0C" w:rsidRPr="00254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72"/>
    <w:multiLevelType w:val="hybridMultilevel"/>
    <w:tmpl w:val="11787658"/>
    <w:lvl w:ilvl="0" w:tplc="97A2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8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64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63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E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CC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E8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0E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7A3DDE"/>
    <w:multiLevelType w:val="hybridMultilevel"/>
    <w:tmpl w:val="6EF2A234"/>
    <w:lvl w:ilvl="0" w:tplc="17AA5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4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2A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A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C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4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9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4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0E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A12319"/>
    <w:multiLevelType w:val="hybridMultilevel"/>
    <w:tmpl w:val="7BAE1EF2"/>
    <w:lvl w:ilvl="0" w:tplc="B4942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A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89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C7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8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6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4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C1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4A1C0D"/>
    <w:multiLevelType w:val="hybridMultilevel"/>
    <w:tmpl w:val="95E029DC"/>
    <w:lvl w:ilvl="0" w:tplc="4C109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6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C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8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8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8F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6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69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AC1B13"/>
    <w:multiLevelType w:val="hybridMultilevel"/>
    <w:tmpl w:val="D7963A36"/>
    <w:lvl w:ilvl="0" w:tplc="A06A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A4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C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2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4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28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3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A2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5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B879B5"/>
    <w:multiLevelType w:val="hybridMultilevel"/>
    <w:tmpl w:val="CB1A490A"/>
    <w:lvl w:ilvl="0" w:tplc="8064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83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9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A0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04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F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0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0C"/>
    <w:rsid w:val="00254C0C"/>
    <w:rsid w:val="008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039A"/>
  <w15:chartTrackingRefBased/>
  <w15:docId w15:val="{7177F249-C6E2-425F-BD6E-66BB590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C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254C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6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9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2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Kajfež Bogataj, Lučka</dc:creator>
  <cp:keywords/>
  <dc:description/>
  <cp:lastModifiedBy>Kajfež Bogataj, Lučka</cp:lastModifiedBy>
  <cp:revision>1</cp:revision>
  <dcterms:created xsi:type="dcterms:W3CDTF">2023-11-24T17:59:00Z</dcterms:created>
  <dcterms:modified xsi:type="dcterms:W3CDTF">2023-11-24T18:09:00Z</dcterms:modified>
</cp:coreProperties>
</file>